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10bis                                 </w:t>
      </w:r>
      <w:bookmarkStart w:id="3" w:name="_GoBack"/>
      <w:bookmarkEnd w:id="3"/>
      <w:r>
        <w:rPr>
          <w:rFonts w:hint="eastAsia" w:ascii="Arial" w:hAnsi="Arial" w:cs="Arial"/>
          <w:b/>
          <w:sz w:val="24"/>
          <w:szCs w:val="24"/>
          <w:lang w:val="en-US" w:eastAsia="zh-CN"/>
        </w:rPr>
        <w:t>R4-2405212</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Changsha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15 April</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19 April</w:t>
      </w:r>
      <w:r>
        <w:rPr>
          <w:rFonts w:hint="eastAsia" w:ascii="Arial" w:hAnsi="Arial" w:eastAsia="宋体" w:cs="Arial"/>
          <w:b/>
          <w:kern w:val="2"/>
          <w:sz w:val="24"/>
          <w:szCs w:val="24"/>
          <w:lang w:val="en-US" w:eastAsia="zh-CN" w:bidi="ar-SA"/>
        </w:rPr>
        <w:t>, 2024 </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AI-CSI</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9.11.4</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eastAsiaTheme="minorEastAsia"/>
          <w:b/>
          <w:sz w:val="21"/>
          <w:szCs w:val="21"/>
          <w:u w:val="single"/>
          <w:lang w:val="en-US" w:eastAsia="zh-CN"/>
        </w:rPr>
      </w:pPr>
      <w:r>
        <w:rPr>
          <w:rFonts w:hint="eastAsia" w:eastAsiaTheme="minorEastAsia"/>
          <w:b/>
          <w:sz w:val="21"/>
          <w:szCs w:val="21"/>
          <w:u w:val="single"/>
          <w:lang w:val="en-US" w:eastAsia="zh-CN"/>
        </w:rPr>
        <w:t>CSI Prediction Accuracy metrics</w:t>
      </w:r>
    </w:p>
    <w:p>
      <w:pPr>
        <w:rPr>
          <w:rFonts w:hint="default" w:eastAsiaTheme="minorEastAsia"/>
          <w:b/>
          <w:sz w:val="18"/>
          <w:szCs w:val="18"/>
          <w:u w:val="single"/>
          <w:lang w:val="en-US" w:eastAsia="zh-CN"/>
        </w:rPr>
      </w:pPr>
      <w:r>
        <w:rPr>
          <w:rFonts w:hint="eastAsia" w:ascii="Times New Roman" w:hAnsi="Times New Roman" w:cs="Times New Roman"/>
          <w:b w:val="0"/>
          <w:bCs/>
          <w:szCs w:val="20"/>
          <w:u w:val="none"/>
          <w:lang w:val="en-US" w:eastAsia="zh-CN"/>
        </w:rPr>
        <w:t>Regarding</w:t>
      </w:r>
      <w:r>
        <w:rPr>
          <w:rFonts w:hint="eastAsia" w:cs="Times New Roman"/>
          <w:b w:val="0"/>
          <w:bCs/>
          <w:szCs w:val="20"/>
          <w:u w:val="none"/>
          <w:lang w:val="en-US" w:eastAsia="zh-CN"/>
        </w:rPr>
        <w:t xml:space="preserve"> the CSI prediction accuracy metrics</w:t>
      </w:r>
      <w:r>
        <w:rPr>
          <w:rFonts w:hint="eastAsia" w:ascii="Times New Roman" w:hAnsi="Times New Roman" w:cs="Times New Roman"/>
          <w:b w:val="0"/>
          <w:bCs/>
          <w:szCs w:val="20"/>
          <w:u w:val="none"/>
          <w:lang w:val="en-US" w:eastAsia="zh-CN"/>
        </w:rPr>
        <w:t>, we have the candidate options captured in following tabl</w:t>
      </w:r>
      <w:r>
        <w:rPr>
          <w:rFonts w:hint="eastAsia" w:cs="Times New Roman"/>
          <w:b w:val="0"/>
          <w:bCs/>
          <w:szCs w:val="20"/>
          <w:u w:val="none"/>
          <w:lang w:val="en-US" w:eastAsia="zh-CN"/>
        </w:rPr>
        <w: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left="720" w:right="0" w:firstLineChars="0"/>
              <w:textAlignment w:val="baseline"/>
              <w:rPr>
                <w:rFonts w:hint="default"/>
                <w:sz w:val="21"/>
                <w:szCs w:val="21"/>
                <w:lang w:eastAsia="zh-CN"/>
              </w:rPr>
            </w:pPr>
            <w:r>
              <w:rPr>
                <w:rFonts w:hint="default"/>
                <w:sz w:val="21"/>
                <w:szCs w:val="21"/>
                <w:lang w:eastAsia="zh-CN"/>
              </w:rPr>
              <w:t>Proposals</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993" w:right="0" w:hanging="284" w:firstLineChars="0"/>
              <w:textAlignment w:val="baseline"/>
              <w:rPr>
                <w:rFonts w:hint="default"/>
                <w:sz w:val="21"/>
                <w:szCs w:val="21"/>
                <w:lang w:eastAsia="zh-CN"/>
              </w:rPr>
            </w:pPr>
            <w:r>
              <w:rPr>
                <w:rFonts w:hint="eastAsia"/>
                <w:sz w:val="21"/>
                <w:szCs w:val="21"/>
                <w:lang w:val="en-US" w:eastAsia="zh-CN"/>
              </w:rPr>
              <w:t xml:space="preserve"> </w:t>
            </w:r>
            <w:r>
              <w:rPr>
                <w:rFonts w:hint="default"/>
                <w:sz w:val="21"/>
                <w:szCs w:val="21"/>
                <w:lang w:eastAsia="zh-CN"/>
              </w:rPr>
              <w:t>Option 1: Prediction accuracy can be used as KPI/metric</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993" w:right="0" w:hanging="284" w:firstLineChars="0"/>
              <w:textAlignment w:val="baseline"/>
              <w:rPr>
                <w:rFonts w:hint="default"/>
                <w:sz w:val="21"/>
                <w:szCs w:val="21"/>
                <w:lang w:eastAsia="zh-CN"/>
              </w:rPr>
            </w:pPr>
            <w:r>
              <w:rPr>
                <w:rFonts w:hint="eastAsia"/>
                <w:sz w:val="21"/>
                <w:szCs w:val="21"/>
                <w:lang w:val="en-US" w:eastAsia="zh-CN"/>
              </w:rPr>
              <w:t xml:space="preserve"> </w:t>
            </w:r>
            <w:r>
              <w:rPr>
                <w:rFonts w:hint="default"/>
                <w:sz w:val="21"/>
                <w:szCs w:val="21"/>
                <w:lang w:eastAsia="zh-CN"/>
              </w:rPr>
              <w:t>Option 2: Prediction accuracy cannot be used because the “correct” value is not available</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993" w:right="0" w:hanging="284" w:firstLineChars="0"/>
              <w:textAlignment w:val="baseline"/>
              <w:rPr>
                <w:rFonts w:hint="default"/>
                <w:sz w:val="21"/>
                <w:szCs w:val="21"/>
                <w:lang w:eastAsia="zh-CN"/>
              </w:rPr>
            </w:pPr>
            <w:r>
              <w:rPr>
                <w:rFonts w:hint="eastAsia"/>
                <w:sz w:val="21"/>
                <w:szCs w:val="21"/>
                <w:lang w:val="en-US" w:eastAsia="zh-CN"/>
              </w:rPr>
              <w:t xml:space="preserve"> </w:t>
            </w:r>
            <w:r>
              <w:rPr>
                <w:rFonts w:hint="default"/>
                <w:sz w:val="21"/>
                <w:szCs w:val="21"/>
                <w:lang w:eastAsia="zh-CN"/>
              </w:rPr>
              <w:t>Option 3: Throughput should be the default metric, others should be discussed only if throughput is not feasible</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993" w:right="0" w:hanging="284" w:firstLineChars="0"/>
              <w:textAlignment w:val="baseline"/>
              <w:rPr>
                <w:rFonts w:hint="default"/>
                <w:sz w:val="21"/>
                <w:szCs w:val="21"/>
                <w:lang w:eastAsia="zh-CN"/>
              </w:rPr>
            </w:pPr>
            <w:r>
              <w:rPr>
                <w:rFonts w:hint="eastAsia"/>
                <w:sz w:val="21"/>
                <w:szCs w:val="21"/>
                <w:lang w:val="en-US" w:eastAsia="zh-CN"/>
              </w:rPr>
              <w:t xml:space="preserve"> </w:t>
            </w:r>
            <w:r>
              <w:rPr>
                <w:rFonts w:hint="default"/>
                <w:sz w:val="21"/>
                <w:szCs w:val="21"/>
                <w:lang w:eastAsia="zh-CN"/>
              </w:rPr>
              <w:t>Option 4: Others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sz w:val="21"/>
                <w:szCs w:val="21"/>
                <w:lang w:val="en-US" w:eastAsia="ja-JP"/>
              </w:rPr>
            </w:pPr>
            <w:r>
              <w:rPr>
                <w:rFonts w:hint="eastAsia" w:eastAsia="游明朝"/>
                <w:sz w:val="21"/>
                <w:szCs w:val="21"/>
                <w:lang w:val="en-US" w:eastAsia="ja-JP"/>
              </w:rPr>
              <w:t>A</w:t>
            </w:r>
            <w:r>
              <w:rPr>
                <w:rFonts w:hint="default" w:eastAsia="游明朝"/>
                <w:sz w:val="21"/>
                <w:szCs w:val="21"/>
                <w:lang w:val="en-US" w:eastAsia="ja-JP"/>
              </w:rPr>
              <w:t>greement:</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eastAsia="游明朝"/>
                <w:sz w:val="21"/>
                <w:szCs w:val="21"/>
                <w:lang w:eastAsia="ja-JP"/>
              </w:rPr>
            </w:pPr>
            <w:r>
              <w:rPr>
                <w:rFonts w:hint="default" w:eastAsia="游明朝"/>
                <w:sz w:val="21"/>
                <w:szCs w:val="21"/>
                <w:lang w:eastAsia="ja-JP"/>
              </w:rPr>
              <w:t>Agree option 3 for inference only. TBD whether we use relative or absolute throughput.</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contextualSpacing/>
              <w:textAlignment w:val="baseline"/>
              <w:rPr>
                <w:rFonts w:hint="eastAsia" w:ascii="Times New Roman" w:hAnsi="Times New Roman" w:cs="Times New Roman"/>
                <w:b w:val="0"/>
                <w:bCs/>
                <w:szCs w:val="20"/>
                <w:u w:val="none"/>
                <w:vertAlign w:val="baseline"/>
                <w:lang w:val="en-US" w:eastAsia="zh-CN"/>
              </w:rPr>
            </w:pPr>
            <w:r>
              <w:rPr>
                <w:rFonts w:hint="default" w:eastAsia="游明朝"/>
                <w:sz w:val="21"/>
                <w:szCs w:val="21"/>
                <w:lang w:eastAsia="ja-JP"/>
              </w:rPr>
              <w:t xml:space="preserve">Monitoring will be discussed separately. </w:t>
            </w: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 xml:space="preserve">As shown in above table, RAN4 agreed to consider throughput as default metric for CSI prediction. Clearly, some technical detailed need further clarification. In general, our objective is to use historical CSI information to predict the future CSI information, and make CSI information more relevant to the current or next moment real channel or beam indication information. The more accurate the predicted CSI information is, the more informative it is for the next moment of NW scheduling.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 xml:space="preserve">It is particularity important to know how to evaluate the accuracy of the predictive CSI information. In the last meeting, RAN4 agreed to use throughput as default metric, but which throughput (e.g. relative and absolute) could be metric need more discussion. Regarding the relative and absolute throughput, it is two different statistical methods (e.g. implicit and explicit) for system throughput. For absolute throughput, it is obvious that is the actual throughput when CQI, PMI and RI are fixed in scheduling. And for relative throughput, it is a ratio between absolute and other value.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lang w:val="en-US" w:eastAsia="zh-CN"/>
        </w:rPr>
      </w:pPr>
      <w:r>
        <w:rPr>
          <w:rFonts w:hint="eastAsia" w:cs="Times New Roman"/>
          <w:b w:val="0"/>
          <w:bCs/>
          <w:szCs w:val="20"/>
          <w:u w:val="none"/>
          <w:lang w:val="en-US" w:eastAsia="zh-CN"/>
        </w:rPr>
        <w:t xml:space="preserve">As we all know, the amount of information that any communication system can transmit reliably over a given channel is upper bounded by the well known channel capacity. The more accurate the predicted CSI information is, the closer it will be to the channel capacity.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 xml:space="preserve">Currently, in legacy requirements, RAN4 used relative throughput as a metric for PMI, which is expressed as the relative increase in throughput when the transmitter is configured according to the UE reported PMI compared to the case when the transmitter is using random precoding[3]. In general, we propose to use relative throughput as default metric and need more discuss for ratio value.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2"/>
        <w:gridCol w:w="212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302"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firstLine="210" w:firstLineChars="100"/>
              <w:jc w:val="both"/>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Component A</w:t>
            </w:r>
          </w:p>
        </w:tc>
        <w:tc>
          <w:tcPr>
            <w:tcW w:w="2126"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firstLine="210" w:firstLineChars="100"/>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Component B</w:t>
            </w:r>
          </w:p>
        </w:tc>
        <w:tc>
          <w:tcPr>
            <w:tcW w:w="2126"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firstLine="420" w:firstLineChars="200"/>
              <w:jc w:val="left"/>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Relative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302"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 xml:space="preserve">AI based precoding TP </w:t>
            </w:r>
          </w:p>
        </w:tc>
        <w:tc>
          <w:tcPr>
            <w:tcW w:w="2126"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Random precoding TP</w:t>
            </w:r>
          </w:p>
        </w:tc>
        <w:tc>
          <w:tcPr>
            <w:tcW w:w="2126" w:type="dxa"/>
            <w:vMerge w:val="restart"/>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firstLine="840" w:firstLineChars="400"/>
              <w:jc w:val="left"/>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302"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AI based precoding TP</w:t>
            </w:r>
          </w:p>
        </w:tc>
        <w:tc>
          <w:tcPr>
            <w:tcW w:w="2126" w:type="dxa"/>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vertAlign w:val="baseline"/>
                <w:lang w:val="en-US" w:eastAsia="zh-CN"/>
              </w:rPr>
            </w:pPr>
            <w:r>
              <w:rPr>
                <w:rFonts w:hint="eastAsia" w:cs="Times New Roman"/>
                <w:b w:val="0"/>
                <w:bCs/>
                <w:szCs w:val="20"/>
                <w:u w:val="none"/>
                <w:vertAlign w:val="baseline"/>
                <w:lang w:val="en-US" w:eastAsia="zh-CN"/>
              </w:rPr>
              <w:t xml:space="preserve"> Channel capacity</w:t>
            </w:r>
          </w:p>
        </w:tc>
        <w:tc>
          <w:tcPr>
            <w:tcW w:w="2126" w:type="dxa"/>
            <w:vMerge w:val="continue"/>
            <w:vAlign w:val="center"/>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vertAlign w:val="baseline"/>
                <w:lang w:val="en-US" w:eastAsia="zh-CN"/>
              </w:rPr>
            </w:pP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lang w:val="en-US" w:eastAsia="zh-CN"/>
        </w:rPr>
      </w:pP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For CSI prediction, it is proposed to use relative throughput as default metric.</w:t>
      </w:r>
    </w:p>
    <w:p>
      <w:pPr>
        <w:widowControl w:val="0"/>
        <w:spacing w:beforeLines="100" w:afterLines="0" w:line="240" w:lineRule="auto"/>
        <w:jc w:val="both"/>
        <w:rPr>
          <w:b/>
          <w:u w:val="single"/>
          <w:lang w:eastAsia="ko-KR"/>
        </w:rPr>
      </w:pPr>
      <w:r>
        <w:rPr>
          <w:b/>
          <w:u w:val="single"/>
          <w:lang w:eastAsia="ko-KR"/>
        </w:rPr>
        <w:t>Option 3 for 2-sided model</w:t>
      </w:r>
    </w:p>
    <w:p>
      <w:pPr>
        <w:rPr>
          <w:rFonts w:hint="eastAsia" w:cs="Times New Roman"/>
          <w:b w:val="0"/>
          <w:bCs/>
          <w:szCs w:val="20"/>
          <w:u w:val="none"/>
          <w:lang w:val="en-US" w:eastAsia="zh-CN"/>
        </w:rPr>
      </w:pPr>
      <w:r>
        <w:rPr>
          <w:rFonts w:hint="eastAsia" w:ascii="Times New Roman" w:hAnsi="Times New Roman" w:cs="Times New Roman"/>
          <w:b w:val="0"/>
          <w:bCs/>
          <w:szCs w:val="20"/>
          <w:u w:val="none"/>
          <w:lang w:val="en-US" w:eastAsia="zh-CN"/>
        </w:rPr>
        <w:t>Regarding</w:t>
      </w:r>
      <w:r>
        <w:rPr>
          <w:rFonts w:hint="eastAsia" w:cs="Times New Roman"/>
          <w:b w:val="0"/>
          <w:bCs/>
          <w:szCs w:val="20"/>
          <w:u w:val="none"/>
          <w:lang w:val="en-US" w:eastAsia="zh-CN"/>
        </w:rPr>
        <w:t xml:space="preserve"> the option for 2-side model,</w:t>
      </w:r>
      <w:r>
        <w:rPr>
          <w:rFonts w:hint="eastAsia" w:ascii="Times New Roman" w:hAnsi="Times New Roman" w:cs="Times New Roman"/>
          <w:b w:val="0"/>
          <w:bCs/>
          <w:szCs w:val="20"/>
          <w:u w:val="none"/>
          <w:lang w:val="en-US" w:eastAsia="zh-CN"/>
        </w:rPr>
        <w:t xml:space="preserve"> we have the candidate</w:t>
      </w:r>
      <w:r>
        <w:rPr>
          <w:rFonts w:hint="eastAsia" w:cs="Times New Roman"/>
          <w:b w:val="0"/>
          <w:bCs/>
          <w:szCs w:val="20"/>
          <w:u w:val="none"/>
          <w:lang w:val="en-US" w:eastAsia="zh-CN"/>
        </w:rPr>
        <w:t xml:space="preserve"> parameters</w:t>
      </w:r>
      <w:r>
        <w:rPr>
          <w:rFonts w:hint="eastAsia" w:ascii="Times New Roman" w:hAnsi="Times New Roman" w:cs="Times New Roman"/>
          <w:b w:val="0"/>
          <w:bCs/>
          <w:szCs w:val="20"/>
          <w:u w:val="none"/>
          <w:lang w:val="en-US" w:eastAsia="zh-CN"/>
        </w:rPr>
        <w:t xml:space="preserve"> captured in following tabl</w:t>
      </w:r>
      <w:r>
        <w:rPr>
          <w:rFonts w:hint="eastAsia" w:cs="Times New Roman"/>
          <w:b w:val="0"/>
          <w:bCs/>
          <w:szCs w:val="20"/>
          <w:u w:val="none"/>
          <w:lang w:val="en-US" w:eastAsia="zh-CN"/>
        </w:rPr>
        <w: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tbl>
            <w:tblPr>
              <w:tblStyle w:val="22"/>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4" w:space="0"/>
                    <w:left w:val="single" w:color="auto" w:sz="4" w:space="0"/>
                    <w:bottom w:val="single" w:color="auto" w:sz="4" w:space="0"/>
                    <w:right w:val="single" w:color="auto" w:sz="4" w:space="0"/>
                  </w:tcBorders>
                  <w:shd w:val="clear" w:color="auto" w:fill="E7E6E6"/>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b/>
                      <w:bCs/>
                      <w:kern w:val="0"/>
                      <w:sz w:val="20"/>
                      <w:szCs w:val="20"/>
                      <w:lang w:val="en-GB" w:eastAsia="en-US"/>
                    </w:rPr>
                  </w:pPr>
                  <w:r>
                    <w:rPr>
                      <w:rFonts w:hint="default"/>
                      <w:b/>
                      <w:bCs/>
                      <w:kern w:val="0"/>
                      <w:sz w:val="20"/>
                      <w:szCs w:val="20"/>
                      <w:lang w:val="en-GB" w:eastAsia="en-US"/>
                    </w:rPr>
                    <w:t>Category</w:t>
                  </w:r>
                </w:p>
              </w:tc>
              <w:tc>
                <w:tcPr>
                  <w:tcW w:w="3117" w:type="dxa"/>
                  <w:tcBorders>
                    <w:top w:val="single" w:color="auto" w:sz="4" w:space="0"/>
                    <w:left w:val="single" w:color="auto" w:sz="4" w:space="0"/>
                    <w:bottom w:val="single" w:color="auto" w:sz="4" w:space="0"/>
                    <w:right w:val="single" w:color="auto" w:sz="4" w:space="0"/>
                  </w:tcBorders>
                  <w:shd w:val="clear" w:color="auto" w:fill="E7E6E6"/>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b/>
                      <w:bCs/>
                      <w:kern w:val="0"/>
                      <w:sz w:val="20"/>
                      <w:szCs w:val="20"/>
                      <w:lang w:val="en-GB" w:eastAsia="en-US"/>
                    </w:rPr>
                  </w:pPr>
                  <w:r>
                    <w:rPr>
                      <w:rFonts w:hint="default"/>
                      <w:b/>
                      <w:bCs/>
                      <w:kern w:val="0"/>
                      <w:sz w:val="20"/>
                      <w:szCs w:val="20"/>
                      <w:lang w:val="en-GB" w:eastAsia="en-US"/>
                    </w:rPr>
                    <w:t>Parameter</w:t>
                  </w:r>
                </w:p>
              </w:tc>
              <w:tc>
                <w:tcPr>
                  <w:tcW w:w="3117" w:type="dxa"/>
                  <w:tcBorders>
                    <w:top w:val="single" w:color="auto" w:sz="4" w:space="0"/>
                    <w:left w:val="single" w:color="auto" w:sz="4" w:space="0"/>
                    <w:bottom w:val="single" w:color="auto" w:sz="4" w:space="0"/>
                    <w:right w:val="single" w:color="auto" w:sz="4" w:space="0"/>
                  </w:tcBorders>
                  <w:shd w:val="clear" w:color="auto" w:fill="E7E6E6"/>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b/>
                      <w:bCs/>
                      <w:kern w:val="0"/>
                      <w:sz w:val="20"/>
                      <w:szCs w:val="20"/>
                      <w:lang w:val="en-GB" w:eastAsia="en-US"/>
                    </w:rPr>
                  </w:pPr>
                  <w:r>
                    <w:rPr>
                      <w:rFonts w:hint="default"/>
                      <w:b/>
                      <w:bCs/>
                      <w:kern w:val="0"/>
                      <w:sz w:val="20"/>
                      <w:szCs w:val="20"/>
                      <w:lang w:val="en-GB" w:eastAsia="en-US"/>
                    </w:rPr>
                    <w:t>Description/Examples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Model architecture parameters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Model type</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Transformer, CNN, RNN, MLP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Model depth</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Number of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Layer type</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Fully connected, convolutional, activation layer,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Layer size</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Neuron count and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Quantization method for the encoder output</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Scalar, vector (with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r>
                    <w:rPr>
                      <w:rFonts w:hint="eastAsia" w:ascii="Times New Roman" w:eastAsia="宋体"/>
                      <w:kern w:val="0"/>
                      <w:sz w:val="20"/>
                      <w:szCs w:val="20"/>
                      <w:highlight w:val="yellow"/>
                      <w:lang w:val="en-GB" w:eastAsia="ja-JP"/>
                    </w:rPr>
                    <w:t>E</w:t>
                  </w:r>
                  <w:r>
                    <w:rPr>
                      <w:rFonts w:hint="default"/>
                      <w:kern w:val="0"/>
                      <w:sz w:val="20"/>
                      <w:szCs w:val="20"/>
                      <w:highlight w:val="yellow"/>
                      <w:lang w:val="en-GB" w:eastAsia="ja-JP"/>
                    </w:rPr>
                    <w:t>ncoder-decoder interface</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eastAsia" w:eastAsia="宋体"/>
                      <w:kern w:val="0"/>
                      <w:sz w:val="20"/>
                      <w:szCs w:val="20"/>
                      <w:highlight w:val="yellow"/>
                      <w:lang w:val="en-GB" w:eastAsia="zh-CN"/>
                    </w:rPr>
                  </w:pPr>
                  <w:r>
                    <w:rPr>
                      <w:rFonts w:hint="eastAsia" w:ascii="Times New Roman" w:eastAsia="宋体"/>
                      <w:kern w:val="0"/>
                      <w:sz w:val="20"/>
                      <w:szCs w:val="20"/>
                      <w:highlight w:val="yellow"/>
                      <w:lang w:val="en-GB" w:eastAsia="ja-JP"/>
                    </w:rPr>
                    <w:t>N</w:t>
                  </w:r>
                  <w:r>
                    <w:rPr>
                      <w:rFonts w:hint="default"/>
                      <w:kern w:val="0"/>
                      <w:sz w:val="20"/>
                      <w:szCs w:val="20"/>
                      <w:highlight w:val="yellow"/>
                      <w:lang w:val="en-GB" w:eastAsia="ja-JP"/>
                    </w:rPr>
                    <w:t>umber of bits of latent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r>
                    <w:rPr>
                      <w:rFonts w:hint="eastAsia" w:ascii="Times New Roman" w:eastAsia="宋体"/>
                      <w:kern w:val="0"/>
                      <w:sz w:val="20"/>
                      <w:szCs w:val="20"/>
                      <w:highlight w:val="yellow"/>
                      <w:lang w:val="en-GB" w:eastAsia="ja-JP"/>
                    </w:rPr>
                    <w:t>F</w:t>
                  </w:r>
                  <w:r>
                    <w:rPr>
                      <w:rFonts w:hint="default"/>
                      <w:kern w:val="0"/>
                      <w:sz w:val="20"/>
                      <w:szCs w:val="20"/>
                      <w:highlight w:val="yellow"/>
                      <w:lang w:val="en-GB" w:eastAsia="ja-JP"/>
                    </w:rPr>
                    <w:t>ixed point representation</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r>
                    <w:rPr>
                      <w:rFonts w:hint="default"/>
                      <w:kern w:val="0"/>
                      <w:sz w:val="20"/>
                      <w:szCs w:val="20"/>
                      <w:highlight w:val="yellow"/>
                      <w:lang w:val="en-GB" w:eastAsia="ja-JP"/>
                    </w:rPr>
                    <w:t>Int8, int16, floating point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highlight w:val="green"/>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r>
                    <w:rPr>
                      <w:rFonts w:hint="default"/>
                      <w:kern w:val="0"/>
                      <w:sz w:val="20"/>
                      <w:szCs w:val="20"/>
                      <w:highlight w:val="yellow"/>
                      <w:lang w:val="en-GB" w:eastAsia="ja-JP"/>
                    </w:rPr>
                    <w:t>Format of input to encoder/output of decoder</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highlight w:val="green"/>
                      <w:lang w:val="en-GB" w:eastAsia="en-US"/>
                    </w:rPr>
                    <w:t>Model Training related parameters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Training procedure</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FFS (e.g Initialization method, training duration, training completion criteria, collaboration type, encoder assumption,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Loss function</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en-US"/>
                    </w:rPr>
                  </w:pPr>
                  <w:r>
                    <w:rPr>
                      <w:rFonts w:hint="default"/>
                      <w:kern w:val="0"/>
                      <w:sz w:val="20"/>
                      <w:szCs w:val="20"/>
                      <w:highlight w:val="green"/>
                      <w:lang w:val="en-GB" w:eastAsia="en-US"/>
                    </w:rPr>
                    <w:t>SGCS, NMSE,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green"/>
                      <w:lang w:val="en-GB" w:eastAsia="ja-JP"/>
                    </w:rPr>
                  </w:pPr>
                  <w:r>
                    <w:rPr>
                      <w:rFonts w:hint="eastAsia" w:ascii="Times New Roman" w:eastAsia="宋体"/>
                      <w:kern w:val="0"/>
                      <w:sz w:val="20"/>
                      <w:szCs w:val="20"/>
                      <w:highlight w:val="green"/>
                      <w:lang w:val="en-GB" w:eastAsia="ja-JP"/>
                    </w:rPr>
                    <w:t>T</w:t>
                  </w:r>
                  <w:r>
                    <w:rPr>
                      <w:rFonts w:hint="default"/>
                      <w:kern w:val="0"/>
                      <w:sz w:val="20"/>
                      <w:szCs w:val="20"/>
                      <w:highlight w:val="green"/>
                      <w:lang w:val="en-GB" w:eastAsia="ja-JP"/>
                    </w:rPr>
                    <w:t>raining datasets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r>
                    <w:rPr>
                      <w:rFonts w:hint="default"/>
                      <w:kern w:val="0"/>
                      <w:sz w:val="20"/>
                      <w:szCs w:val="20"/>
                      <w:highlight w:val="yellow"/>
                      <w:lang w:val="en-GB" w:eastAsia="ja-JP"/>
                    </w:rPr>
                    <w:t>Channel model, number of Tx/Rx ports</w:t>
                  </w:r>
                </w:p>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highlight w:val="yellow"/>
                      <w:lang w:val="en-GB" w:eastAsia="ja-JP"/>
                    </w:rPr>
                  </w:pPr>
                  <w:r>
                    <w:rPr>
                      <w:rFonts w:hint="default"/>
                      <w:kern w:val="0"/>
                      <w:sz w:val="20"/>
                      <w:szCs w:val="20"/>
                      <w:highlight w:val="yellow"/>
                      <w:lang w:val="en-GB" w:eastAsia="ja-JP"/>
                    </w:rPr>
                    <w:t>Other parameters FFS (e.g. rank)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Hyperparameters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Learning rate, batch size, regularization techniques and strength, optimization algorithm,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Cross-validation details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Dataset splits for training/testing/validation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Generalization (may be applicable to all four options)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Performance requirements on test dataset(s)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Mean SGCS,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Scalability (may be applicable to all four options)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Supported antenna port configurations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(2,8,2), (2,4,2),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2"/>
                      <w:sz w:val="20"/>
                      <w:szCs w:val="20"/>
                      <w:lang w:val="en-GB" w:eastAsia="en-US"/>
                    </w:rPr>
                  </w:pP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Supported feedback payloads</w:t>
                  </w:r>
                </w:p>
              </w:tc>
              <w:tc>
                <w:tcPr>
                  <w:tcW w:w="31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Lines="-2147483648" w:beforeAutospacing="0" w:after="180" w:afterLines="-2147483648" w:afterAutospacing="0" w:line="240" w:lineRule="auto"/>
                    <w:ind w:left="0" w:right="0"/>
                    <w:jc w:val="center"/>
                    <w:rPr>
                      <w:rFonts w:hint="default"/>
                      <w:kern w:val="0"/>
                      <w:sz w:val="20"/>
                      <w:szCs w:val="20"/>
                      <w:lang w:val="en-GB" w:eastAsia="en-US"/>
                    </w:rPr>
                  </w:pPr>
                  <w:r>
                    <w:rPr>
                      <w:rFonts w:hint="default"/>
                      <w:kern w:val="0"/>
                      <w:sz w:val="20"/>
                      <w:szCs w:val="20"/>
                      <w:lang w:val="en-GB" w:eastAsia="en-US"/>
                    </w:rPr>
                    <w:t>Low, medium, high overhead (with specified number of bits)</w:t>
                  </w:r>
                </w:p>
              </w:tc>
            </w:tr>
          </w:tbl>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cs="Times New Roman"/>
                <w:b w:val="0"/>
                <w:bCs/>
                <w:szCs w:val="20"/>
                <w:u w:val="none"/>
                <w:vertAlign w:val="baseline"/>
                <w:lang w:val="en-US" w:eastAsia="zh-CN"/>
              </w:rPr>
            </w:pP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lang w:val="en-US" w:eastAsia="zh-CN"/>
        </w:rPr>
      </w:pPr>
      <w:r>
        <w:rPr>
          <w:rFonts w:hint="eastAsia" w:cs="Times New Roman"/>
          <w:b w:val="0"/>
          <w:bCs/>
          <w:szCs w:val="20"/>
          <w:u w:val="none"/>
          <w:lang w:val="en-US" w:eastAsia="zh-CN"/>
        </w:rPr>
        <w:t xml:space="preserve">In last meeting, RAN4 discussed the above contains a set of parameters which are needed in the process oh the checking the feasibility of option 3. And the parameters in green are agreed. The parameters in yellow are tentatively agreed. The other parameters are still need more discussion.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Regarding the format of input to encoder/ output of decoder, as we all know, different formats of input / output will have different results for deep learning or machine learning. Up to now, there are two potential candidate options for channel matrix, e.g. precoding matrix and explicit channel matrix from our understanding. Notably, different matrices dimension for precoding matric and explicit channel matrix. Furthermore, the channel information represented by these two matrices is different, which will lead to differences in the training model.</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 xml:space="preserve">On the other hand, it may need some further pre-processing on the measured channel. Based on numerous studies, channel information could be sparse in some domains, e.g. angular- delay domain. To reduce feedback overhead, the channel matrix can be transformed from spatial-frequency domain to angular-delay domain, which makes it easier to compress.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lang w:val="en-US" w:eastAsia="zh-CN"/>
        </w:rPr>
      </w:pPr>
      <w:r>
        <w:rPr>
          <w:rFonts w:hint="eastAsia" w:cs="Times New Roman"/>
          <w:b w:val="0"/>
          <w:bCs/>
          <w:szCs w:val="20"/>
          <w:u w:val="none"/>
          <w:lang w:val="en-US" w:eastAsia="zh-CN"/>
        </w:rPr>
        <w:t>According to our analysis, we can observed that two different candidate options for channel matrix, which have different input formats to encoder. Also, to reduce feedback, channel information could be sparse in some domains, which will lead different input formats to encoder.</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There are two different candidate options for input data, which have different input formats to encoder.</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To reduce feedback, channel information could be sparse in some domains, which will lead different input formats to encoder.</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2. Format of input to encoder/output of decoder could be considered, which also including input dataset pre-processing. </w:t>
      </w:r>
    </w:p>
    <w:p>
      <w:pPr>
        <w:widowControl w:val="0"/>
        <w:spacing w:beforeLines="100" w:afterLines="0" w:line="240" w:lineRule="auto"/>
        <w:jc w:val="both"/>
        <w:rPr>
          <w:rFonts w:hint="default"/>
          <w:b/>
          <w:bCs/>
          <w:i/>
          <w:iCs/>
          <w:szCs w:val="21"/>
          <w:lang w:val="en-US" w:eastAsia="zh-CN"/>
        </w:rPr>
      </w:pPr>
    </w:p>
    <w:p>
      <w:pPr>
        <w:rPr>
          <w:rFonts w:hint="default" w:eastAsiaTheme="minorEastAsia"/>
          <w:b/>
          <w:sz w:val="21"/>
          <w:szCs w:val="21"/>
          <w:u w:val="single"/>
          <w:lang w:val="en-US" w:eastAsia="zh-CN"/>
        </w:rPr>
      </w:pPr>
      <w:r>
        <w:rPr>
          <w:rFonts w:hint="eastAsia" w:eastAsiaTheme="minorEastAsia"/>
          <w:b/>
          <w:sz w:val="21"/>
          <w:szCs w:val="21"/>
          <w:u w:val="single"/>
          <w:lang w:val="en-US" w:eastAsia="ko-KR"/>
        </w:rPr>
        <w:t>Option 4 for 2-sided model</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As illustrated in TS 38.843, Option 4 target is that a single decoder implemented by each TE vendor will be enough for at least a single test for any DUTs, which means the TE vendor could decode any DUTs when testing. Cause encoder and decoder must be different vendors, how to make sure that the TE vendor decoder could be paired with the DUT vendor encoder is most important thing.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The performance of the decoder depends on input data of encoder, training mode of CSI generation part. From the CSI compression inference produce, we can observed that CSI generation plays a decisive role for decoder. Different UE vendors could define different models according to input of encoder, which means TE vendors should define a model set to include all CSI generation models from different UE vendor, also include input of encoder. This will ensure that the objective of Option 4.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general, if training dataset and encoder model structure are defined in RAN4 specifications. TE vendor can also generate the dataset according to the RAN4 specification. And for model structure, TE vendor only needs to determine the model based on the parameters which defined in specification. When TE vendor perform conformance testing, although UE vendor doesn</w:t>
      </w:r>
      <w:r>
        <w:rPr>
          <w:rFonts w:hint="default" w:cs="Times New Roman"/>
          <w:kern w:val="2"/>
          <w:sz w:val="21"/>
          <w:lang w:val="en-US" w:eastAsia="zh-CN" w:bidi="ar-SA"/>
        </w:rPr>
        <w:t>’</w:t>
      </w:r>
      <w:r>
        <w:rPr>
          <w:rFonts w:hint="eastAsia" w:cs="Times New Roman"/>
          <w:kern w:val="2"/>
          <w:sz w:val="21"/>
          <w:lang w:val="en-US" w:eastAsia="zh-CN" w:bidi="ar-SA"/>
        </w:rPr>
        <w:t xml:space="preserve">t provide the detailed information, but the training data and model structure could be consistent with the specification, the operability can be achieved between TEs and DUTs.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On the other hand, for the worst scenario, training dataset and model structure are not defined in RAN4 specifications. In order to achieve the operability, two potential solutions could be considered. Option 1: Training dataset and model structure need to be delivered to TE vendor for every UE vendor. Option 2: A compromise approach between the best case and the worst case. RAN4 needs to find a reference training dataset and model structure, i.e. all training datasets and model structures should be generated for all UE vendors from the reference defined in the RAN4 specification. TE vendor also uses reference training datasets and model structures to perform conformance testing. The main concern is that performance is difficult to guarantee.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For test decoder, need more information about training dataset and model structure in compression.</w:t>
      </w:r>
    </w:p>
    <w:p>
      <w:pPr>
        <w:widowControl w:val="0"/>
        <w:spacing w:beforeLines="100" w:afterLines="0" w:line="240" w:lineRule="auto"/>
        <w:jc w:val="both"/>
        <w:rPr>
          <w:b/>
          <w:u w:val="single"/>
          <w:lang w:eastAsia="ko-KR"/>
        </w:rPr>
      </w:pPr>
      <w:r>
        <w:rPr>
          <w:b/>
          <w:u w:val="single"/>
          <w:lang w:eastAsia="ko-KR"/>
        </w:rPr>
        <w:t>Testing options for 2-sided model</w:t>
      </w:r>
    </w:p>
    <w:p>
      <w:pPr>
        <w:rPr>
          <w:rFonts w:hint="default"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 xml:space="preserve">Regarding </w:t>
      </w:r>
      <w:r>
        <w:rPr>
          <w:rFonts w:hint="eastAsia" w:cs="Times New Roman"/>
          <w:b w:val="0"/>
          <w:bCs/>
          <w:szCs w:val="20"/>
          <w:u w:val="none"/>
          <w:lang w:val="en-US" w:eastAsia="zh-CN"/>
        </w:rPr>
        <w:t>test options for 2-side, only option 3 and option 4 need further discuss.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ja-JP"/>
              </w:rPr>
              <w:t>RAN4 to further discuss only options 3 and 4</w:t>
            </w:r>
            <w:r>
              <w:rPr>
                <w:rFonts w:hint="eastAsia" w:ascii="Times New Roman" w:hAnsi="Times New Roman" w:cs="Times New Roman"/>
                <w:b w:val="0"/>
                <w:bCs/>
                <w:szCs w:val="20"/>
                <w:u w:val="none"/>
                <w:lang w:val="en-US" w:eastAsia="zh-CN"/>
              </w:rPr>
              <w:t>.</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For the remaining parts(option 3 and option 4) of this comparison , we would like to provide our input as below.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Our views on two-sided testing options comparison are listed in the following table with additional notes.</w:t>
      </w:r>
    </w:p>
    <w:p>
      <w:pPr>
        <w:widowControl w:val="0"/>
        <w:spacing w:beforeLines="100" w:afterLines="0" w:line="240" w:lineRule="auto"/>
        <w:jc w:val="both"/>
        <w:rPr>
          <w:rFonts w:hint="eastAsia" w:cs="Times New Roman"/>
          <w:kern w:val="2"/>
          <w:sz w:val="21"/>
          <w:lang w:val="en-US" w:eastAsia="zh-CN" w:bidi="ar-SA"/>
        </w:rPr>
      </w:pPr>
    </w:p>
    <w:p>
      <w:pPr>
        <w:widowControl w:val="0"/>
        <w:spacing w:beforeLines="100" w:afterLines="0" w:line="240" w:lineRule="auto"/>
        <w:jc w:val="both"/>
        <w:rPr>
          <w:rFonts w:hint="eastAsia" w:cs="Times New Roman"/>
          <w:kern w:val="2"/>
          <w:sz w:val="21"/>
          <w:lang w:val="en-US" w:eastAsia="zh-CN" w:bidi="ar-SA"/>
        </w:rPr>
      </w:pPr>
    </w:p>
    <w:p>
      <w:pPr>
        <w:widowControl w:val="0"/>
        <w:spacing w:beforeLines="100" w:afterLines="0" w:line="240" w:lineRule="auto"/>
        <w:jc w:val="both"/>
        <w:rPr>
          <w:rFonts w:hint="eastAsia" w:cs="Times New Roman"/>
          <w:kern w:val="2"/>
          <w:sz w:val="21"/>
          <w:lang w:val="en-US" w:eastAsia="zh-CN" w:bidi="ar-SA"/>
        </w:rPr>
      </w:pPr>
    </w:p>
    <w:p>
      <w:pPr>
        <w:widowControl w:val="0"/>
        <w:spacing w:beforeLines="100" w:afterLines="0" w:line="240" w:lineRule="auto"/>
        <w:jc w:val="both"/>
        <w:rPr>
          <w:rFonts w:hint="eastAsia" w:cs="Times New Roman"/>
          <w:kern w:val="2"/>
          <w:sz w:val="21"/>
          <w:lang w:val="en-US" w:eastAsia="zh-CN" w:bidi="ar-SA"/>
        </w:rPr>
      </w:pPr>
    </w:p>
    <w:p>
      <w:pPr>
        <w:keepNext w:val="0"/>
        <w:keepLines w:val="0"/>
        <w:widowControl w:val="0"/>
        <w:spacing w:before="60" w:after="180"/>
        <w:jc w:val="center"/>
        <w:rPr>
          <w:rFonts w:ascii="Arial" w:hAnsi="Arial" w:eastAsia="MS Mincho" w:cs="Times New Roman"/>
          <w:b/>
          <w:lang w:val="en-GB" w:eastAsia="en-US" w:bidi="ar-SA"/>
        </w:rPr>
      </w:pPr>
      <w:r>
        <w:rPr>
          <w:rFonts w:ascii="Arial" w:hAnsi="Arial" w:eastAsia="MS Mincho" w:cs="Times New Roman"/>
          <w:b/>
          <w:lang w:val="en-GB" w:eastAsia="en-US" w:bidi="ar-SA"/>
        </w:rPr>
        <w:t>Table 7.3.2.3-1: Comparison of the four options of test decoder</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2"/>
        <w:gridCol w:w="1702"/>
        <w:gridCol w:w="1860"/>
        <w:gridCol w:w="2003"/>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D8D8D8"/>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
                <w:kern w:val="0"/>
                <w:sz w:val="18"/>
                <w:szCs w:val="18"/>
                <w:lang w:val="en-GB" w:eastAsia="en-US"/>
              </w:rPr>
            </w:pPr>
          </w:p>
        </w:tc>
        <w:tc>
          <w:tcPr>
            <w:tcW w:w="0" w:type="auto"/>
            <w:shd w:val="clear" w:color="auto" w:fill="D8D8D8"/>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
                <w:kern w:val="0"/>
                <w:sz w:val="18"/>
                <w:szCs w:val="18"/>
                <w:lang w:val="en-GB" w:eastAsia="en-US"/>
              </w:rPr>
            </w:pPr>
            <w:r>
              <w:rPr>
                <w:rFonts w:hint="default" w:ascii="Arial" w:hAnsi="Arial" w:eastAsia="MS Mincho" w:cs="Arial"/>
                <w:b/>
                <w:kern w:val="0"/>
                <w:sz w:val="18"/>
                <w:szCs w:val="18"/>
                <w:lang w:val="en-GB" w:eastAsia="en-US"/>
              </w:rPr>
              <w:t>Option 1</w:t>
            </w:r>
          </w:p>
        </w:tc>
        <w:tc>
          <w:tcPr>
            <w:tcW w:w="0" w:type="auto"/>
            <w:shd w:val="clear" w:color="auto" w:fill="D8D8D8"/>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
                <w:kern w:val="0"/>
                <w:sz w:val="18"/>
                <w:szCs w:val="18"/>
                <w:lang w:val="en-GB" w:eastAsia="en-US"/>
              </w:rPr>
            </w:pPr>
            <w:r>
              <w:rPr>
                <w:rFonts w:hint="default" w:ascii="Arial" w:hAnsi="Arial" w:eastAsia="MS Mincho" w:cs="Arial"/>
                <w:b/>
                <w:kern w:val="0"/>
                <w:sz w:val="18"/>
                <w:szCs w:val="18"/>
                <w:lang w:val="en-GB" w:eastAsia="en-US"/>
              </w:rPr>
              <w:t>Option 2</w:t>
            </w:r>
          </w:p>
        </w:tc>
        <w:tc>
          <w:tcPr>
            <w:tcW w:w="0" w:type="auto"/>
            <w:shd w:val="clear" w:color="auto" w:fill="D8D8D8"/>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
                <w:kern w:val="0"/>
                <w:sz w:val="18"/>
                <w:szCs w:val="18"/>
                <w:lang w:val="en-GB" w:eastAsia="en-US"/>
              </w:rPr>
            </w:pPr>
            <w:r>
              <w:rPr>
                <w:rFonts w:hint="default" w:ascii="Arial" w:hAnsi="Arial" w:eastAsia="MS Mincho" w:cs="Arial"/>
                <w:b/>
                <w:kern w:val="0"/>
                <w:sz w:val="18"/>
                <w:szCs w:val="18"/>
                <w:lang w:val="en-GB" w:eastAsia="en-US"/>
              </w:rPr>
              <w:t>Option 3</w:t>
            </w:r>
          </w:p>
        </w:tc>
        <w:tc>
          <w:tcPr>
            <w:tcW w:w="0" w:type="auto"/>
            <w:shd w:val="clear" w:color="auto" w:fill="D8D8D8"/>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
                <w:kern w:val="0"/>
                <w:sz w:val="18"/>
                <w:szCs w:val="18"/>
                <w:lang w:val="en-GB" w:eastAsia="en-US"/>
              </w:rPr>
            </w:pPr>
            <w:r>
              <w:rPr>
                <w:rFonts w:hint="default" w:ascii="Arial" w:hAnsi="Arial" w:eastAsia="MS Mincho" w:cs="Arial"/>
                <w:b/>
                <w:kern w:val="0"/>
                <w:sz w:val="18"/>
                <w:szCs w:val="18"/>
                <w:lang w:val="en-GB" w:eastAsia="en-US"/>
              </w:rPr>
              <w:t>Option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
                <w:bCs/>
                <w:kern w:val="0"/>
                <w:sz w:val="18"/>
                <w:szCs w:val="18"/>
                <w:lang w:val="en-GB" w:eastAsia="en-US"/>
              </w:rPr>
            </w:pPr>
            <w:r>
              <w:rPr>
                <w:rFonts w:hint="default" w:ascii="Arial" w:hAnsi="Arial" w:eastAsia="MS Mincho" w:cs="Arial"/>
                <w:b/>
                <w:bCs/>
                <w:kern w:val="0"/>
                <w:sz w:val="18"/>
                <w:szCs w:val="18"/>
                <w:lang w:val="en-GB" w:eastAsia="en-US"/>
              </w:rPr>
              <w:t>Clarification of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Source of the test decoder</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DUT vendor</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Decoder vendor (infra vendor in case of testing UEs)</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RAN4 specifications</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TE vendor, decoder developed based on RAN4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Source of decoder training data</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Up to DUT vendors (no need to be specified)</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Up to decoder implementer (infra vendor)</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Not needed, decoder fully specified (used as part of the RAN4 procedure to specify the decoder)</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strike/>
                <w:dstrike w:val="0"/>
                <w:kern w:val="0"/>
                <w:sz w:val="18"/>
                <w:szCs w:val="18"/>
                <w:lang w:val="en-GB" w:eastAsia="en-US"/>
              </w:rPr>
            </w:pPr>
            <w:r>
              <w:rPr>
                <w:rFonts w:hint="default" w:ascii="Arial" w:hAnsi="Arial" w:eastAsia="MS Mincho" w:cs="Arial"/>
                <w:strike/>
                <w:dstrike w:val="0"/>
                <w:kern w:val="0"/>
                <w:sz w:val="18"/>
                <w:szCs w:val="18"/>
                <w:lang w:val="en-GB" w:eastAsia="en-US"/>
              </w:rPr>
              <w:t>FFS</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strike/>
                <w:dstrike w:val="0"/>
                <w:kern w:val="0"/>
                <w:sz w:val="18"/>
                <w:szCs w:val="18"/>
                <w:lang w:val="en-GB" w:eastAsia="en-US"/>
              </w:rPr>
            </w:pPr>
            <w:r>
              <w:rPr>
                <w:rFonts w:hint="default" w:ascii="Arial" w:hAnsi="Arial" w:eastAsia="MS Mincho" w:cs="Arial"/>
                <w:strike/>
                <w:dstrike w:val="0"/>
                <w:kern w:val="0"/>
                <w:sz w:val="18"/>
                <w:szCs w:val="18"/>
                <w:lang w:val="en-GB" w:eastAsia="en-US"/>
              </w:rPr>
              <w:t>Could be specified depending on how Option 4 will be defined</w:t>
            </w:r>
          </w:p>
          <w:p>
            <w:pPr>
              <w:keepNext w:val="0"/>
              <w:keepLines w:val="0"/>
              <w:widowControl/>
              <w:suppressLineNumbers w:val="0"/>
              <w:spacing w:before="0" w:beforeLines="-2147483648" w:beforeAutospacing="0" w:after="0" w:afterLines="-2147483648" w:afterAutospacing="0" w:line="240" w:lineRule="auto"/>
              <w:ind w:left="0" w:right="0"/>
              <w:jc w:val="left"/>
              <w:rPr>
                <w:rFonts w:hint="eastAsia" w:ascii="Arial" w:hAnsi="Arial" w:eastAsia="宋体" w:cs="Arial"/>
                <w:kern w:val="0"/>
                <w:sz w:val="18"/>
                <w:szCs w:val="18"/>
                <w:highlight w:val="yellow"/>
                <w:lang w:val="en-US" w:eastAsia="zh-CN"/>
              </w:rPr>
            </w:pPr>
            <w:r>
              <w:rPr>
                <w:rFonts w:hint="eastAsia" w:ascii="Arial" w:hAnsi="Arial" w:eastAsia="宋体" w:cs="Arial"/>
                <w:kern w:val="0"/>
                <w:sz w:val="18"/>
                <w:szCs w:val="18"/>
                <w:highlight w:val="yellow"/>
                <w:lang w:val="en-US" w:eastAsia="zh-CN"/>
              </w:rPr>
              <w:t>Option 1: Decoder training data is defined in RAN4 specification.</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cs="Arial"/>
                <w:kern w:val="0"/>
                <w:sz w:val="18"/>
                <w:szCs w:val="18"/>
                <w:highlight w:val="yellow"/>
                <w:lang w:val="en-US" w:eastAsia="zh-CN"/>
              </w:rPr>
            </w:pPr>
            <w:r>
              <w:rPr>
                <w:rFonts w:hint="eastAsia" w:ascii="Arial" w:hAnsi="Arial" w:eastAsia="宋体" w:cs="Arial"/>
                <w:kern w:val="0"/>
                <w:sz w:val="18"/>
                <w:szCs w:val="18"/>
                <w:highlight w:val="yellow"/>
                <w:lang w:val="en-US" w:eastAsia="zh-CN"/>
              </w:rPr>
              <w:t xml:space="preserve">Option 2: Decoder training data is </w:t>
            </w:r>
            <w:r>
              <w:rPr>
                <w:rFonts w:hint="eastAsia" w:ascii="Arial" w:hAnsi="Arial" w:cs="Arial"/>
                <w:kern w:val="0"/>
                <w:sz w:val="18"/>
                <w:szCs w:val="18"/>
                <w:highlight w:val="yellow"/>
                <w:lang w:val="en-US" w:eastAsia="zh-CN"/>
              </w:rPr>
              <w:t xml:space="preserve">not </w:t>
            </w:r>
            <w:r>
              <w:rPr>
                <w:rFonts w:hint="eastAsia" w:ascii="Arial" w:hAnsi="Arial" w:eastAsia="宋体" w:cs="Arial"/>
                <w:kern w:val="0"/>
                <w:sz w:val="18"/>
                <w:szCs w:val="18"/>
                <w:highlight w:val="yellow"/>
                <w:lang w:val="en-US" w:eastAsia="zh-CN"/>
              </w:rPr>
              <w:t>defined in RAN4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DUT vendor knowledge of the test decoder</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Full knowledge</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No or partial or enough or full knowledge based on alignment with infra vendors or specifications</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Full knowledge based on the specifications</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Partial knowledge – based on RAN4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Supported training collaboration type between DUT and decoder provider (source of training data should be consistent with the collaboration type)</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cs="Arial"/>
                <w:kern w:val="0"/>
                <w:sz w:val="18"/>
                <w:szCs w:val="18"/>
                <w:highlight w:val="yellow"/>
                <w:lang w:val="en-US" w:eastAsia="zh-CN"/>
              </w:rPr>
              <w:t>No collaboration required</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cs="Arial"/>
                <w:kern w:val="0"/>
                <w:sz w:val="18"/>
                <w:szCs w:val="18"/>
                <w:highlight w:val="yellow"/>
                <w:lang w:val="en-US" w:eastAsia="zh-CN"/>
              </w:rPr>
              <w:t>Maybe(If training dataset and model structure are not defined in RAN4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Test decoder performance verification procedure at TE</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Need to ensure that decoder performance is not degraded (as intended by the decoder provider) on the TE</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Need to ensure that decoder performance is not degraded (as intended by the decoder provider) on the TE</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Need to ensure that decoder performance is good enough to enable a DUT that meets the minimum requirements to pass the test</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Not needed as long as the standardized model implementation can be similar enough between TE vendors</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strike/>
                <w:dstrike w:val="0"/>
                <w:kern w:val="0"/>
                <w:sz w:val="18"/>
                <w:szCs w:val="18"/>
                <w:lang w:val="en-GB" w:eastAsia="en-US"/>
              </w:rPr>
            </w:pPr>
            <w:r>
              <w:rPr>
                <w:rFonts w:hint="default" w:ascii="Arial" w:hAnsi="Arial" w:eastAsia="MS Mincho" w:cs="Arial"/>
                <w:strike/>
                <w:dstrike w:val="0"/>
                <w:kern w:val="0"/>
                <w:sz w:val="18"/>
                <w:szCs w:val="18"/>
                <w:lang w:val="en-GB" w:eastAsia="en-US"/>
              </w:rPr>
              <w:t>Not needed as long a the model implementation can be similar enough between TE vendors</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strike w:val="0"/>
                <w:dstrike w:val="0"/>
                <w:kern w:val="0"/>
                <w:sz w:val="18"/>
                <w:szCs w:val="18"/>
                <w:lang w:val="en-US" w:eastAsia="zh-CN"/>
              </w:rPr>
            </w:pPr>
            <w:r>
              <w:rPr>
                <w:rFonts w:hint="eastAsia" w:ascii="Arial" w:hAnsi="Arial" w:eastAsia="宋体" w:cs="Arial"/>
                <w:strike w:val="0"/>
                <w:dstrike w:val="0"/>
                <w:kern w:val="0"/>
                <w:sz w:val="18"/>
                <w:szCs w:val="18"/>
                <w:highlight w:val="yellow"/>
                <w:lang w:val="en-US" w:eastAsia="zh-CN"/>
              </w:rPr>
              <w:t>Depending on the definition of training datasets and model 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Feasibility of test decoder verification procedure</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FFS</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FFS</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kern w:val="0"/>
                <w:sz w:val="18"/>
                <w:szCs w:val="18"/>
                <w:lang w:val="en-US" w:eastAsia="zh-CN"/>
              </w:rPr>
              <w:t xml:space="preserve">Not needed </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eastAsia" w:ascii="Arial" w:hAnsi="Arial" w:eastAsia="宋体" w:cs="Arial"/>
                <w:strike w:val="0"/>
                <w:dstrike w:val="0"/>
                <w:kern w:val="0"/>
                <w:sz w:val="18"/>
                <w:szCs w:val="18"/>
                <w:highlight w:val="yellow"/>
                <w:lang w:val="en-US" w:eastAsia="zh-CN"/>
              </w:rPr>
              <w:t>Depending on the definition of training datasets and model 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b/>
                <w:kern w:val="0"/>
                <w:sz w:val="18"/>
                <w:szCs w:val="18"/>
                <w:lang w:val="en-GB" w:eastAsia="en-US"/>
              </w:rPr>
              <w:t>Pros/Cons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Reflection on the real deployment (likelihood that test decoder would be used</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strike w:val="0"/>
                <w:dstrike w:val="0"/>
                <w:kern w:val="0"/>
                <w:sz w:val="18"/>
                <w:szCs w:val="18"/>
                <w:highlight w:val="yellow"/>
                <w:lang w:val="en-US" w:eastAsia="zh-CN"/>
              </w:rPr>
              <w:t>Depends on which kind of training dataset</w:t>
            </w:r>
            <w:r>
              <w:rPr>
                <w:rFonts w:hint="eastAsia" w:ascii="Arial" w:hAnsi="Arial" w:cs="Arial"/>
                <w:strike w:val="0"/>
                <w:dstrike w:val="0"/>
                <w:kern w:val="0"/>
                <w:sz w:val="18"/>
                <w:szCs w:val="18"/>
                <w:highlight w:val="yellow"/>
                <w:lang w:val="en-US" w:eastAsia="zh-CN"/>
              </w:rPr>
              <w:t xml:space="preserve"> is </w:t>
            </w:r>
            <w:r>
              <w:rPr>
                <w:rFonts w:hint="eastAsia" w:ascii="Arial" w:hAnsi="Arial" w:eastAsia="宋体" w:cs="Arial"/>
                <w:strike w:val="0"/>
                <w:dstrike w:val="0"/>
                <w:kern w:val="0"/>
                <w:sz w:val="18"/>
                <w:szCs w:val="18"/>
                <w:highlight w:val="yellow"/>
                <w:lang w:val="en-US" w:eastAsia="zh-CN"/>
              </w:rPr>
              <w:t xml:space="preserve">used </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strike w:val="0"/>
                <w:dstrike w:val="0"/>
                <w:kern w:val="0"/>
                <w:sz w:val="18"/>
                <w:szCs w:val="18"/>
                <w:highlight w:val="yellow"/>
                <w:lang w:val="en-US" w:eastAsia="zh-CN"/>
              </w:rPr>
              <w:t xml:space="preserve">Depends on which kind of training dataset </w:t>
            </w:r>
            <w:r>
              <w:rPr>
                <w:rFonts w:hint="eastAsia" w:ascii="Arial" w:hAnsi="Arial" w:cs="Arial"/>
                <w:strike w:val="0"/>
                <w:dstrike w:val="0"/>
                <w:kern w:val="0"/>
                <w:sz w:val="18"/>
                <w:szCs w:val="18"/>
                <w:highlight w:val="yellow"/>
                <w:lang w:val="en-US" w:eastAsia="zh-CN"/>
              </w:rPr>
              <w:t xml:space="preserve">is </w:t>
            </w:r>
            <w:r>
              <w:rPr>
                <w:rFonts w:hint="eastAsia" w:ascii="Arial" w:hAnsi="Arial" w:eastAsia="宋体" w:cs="Arial"/>
                <w:strike w:val="0"/>
                <w:dstrike w:val="0"/>
                <w:kern w:val="0"/>
                <w:sz w:val="18"/>
                <w:szCs w:val="18"/>
                <w:highlight w:val="yellow"/>
                <w:lang w:val="en-US" w:eastAsia="zh-CN"/>
              </w:rPr>
              <w:t xml:space="preserve">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TE requirements to deploy the decoder (e.g., training, complexity, interoperability)</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Higher than Option 3/4 in terms of that maybe more than one decoder is implemented by TE</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Lower thank Option 3/4 in terms of that no training at TE is required</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Higher than Option 3/4 in terms of that maybe more than one decoder is implemented by TE</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Lower thank Option 3/4 in terms of that no training at TE is required</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Lower complexity than Option 1/2 in terms of that only one decoder is implemented by TE</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Lower thank Option 4 in terms of that no training at TE is required</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Lower complexity than Option 1/2 in terms of that only one decoder is implemented by TE</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 xml:space="preserve">Higher than Option 3 in terms of that training at TE is required </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Note: How to ensure compatibility/ interoperability between TE and DUT needs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Specification effort (defining test decoder and requirements)</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Highest</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RAN4 needs to standardize the entire decoder</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High</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RAN4 needs to study and may decide on what to standardize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Confidentiality/ IP issues in the testing procedure (after specs are published)</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No</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Applicability to different scenarios/conditions/ configurations</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kern w:val="0"/>
                <w:sz w:val="18"/>
                <w:szCs w:val="18"/>
                <w:highlight w:val="yellow"/>
                <w:lang w:val="en-US" w:eastAsia="zh-CN"/>
              </w:rPr>
              <w:t xml:space="preserve">Depends on whether decoder allows to switch different scenarios   </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eastAsia" w:ascii="Arial" w:hAnsi="Arial" w:eastAsia="宋体" w:cs="Arial"/>
                <w:kern w:val="0"/>
                <w:sz w:val="18"/>
                <w:szCs w:val="18"/>
                <w:highlight w:val="yellow"/>
                <w:lang w:val="en-US" w:eastAsia="zh-CN"/>
              </w:rPr>
              <w:t xml:space="preserve">Depends on whether decoder allows to switch different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Complexity of testing for the ecosystem</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Testing the encoder at DUT</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 xml:space="preserve">Higher than  Option 3/4 </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Need for interaction between TE vendor</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Testing the encoder at DUT</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 xml:space="preserve">Higher than Option 3/4 </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Testing complexity higher also than Option 1</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Testing the encoder at DUT</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 – no need for interaction between TE vendors and other parties</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Testing the encoder at DUT</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 – no need for interaction between TE vendors and other parties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Complexity of verifying/testing the test decoder</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 xml:space="preserve">Higher than Option 3/4 </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FSS compared to Option 2</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 xml:space="preserve">Higher than Option 3/4 </w:t>
            </w: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FSS compared to Option 1</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default" w:ascii="Arial" w:hAnsi="Arial" w:eastAsia="MS Mincho" w:cs="Arial"/>
                <w:kern w:val="0"/>
                <w:sz w:val="18"/>
                <w:szCs w:val="18"/>
                <w:lang w:val="en-GB"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Complexity of deploying for the ecosystem</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kern w:val="0"/>
                <w:sz w:val="18"/>
                <w:szCs w:val="18"/>
                <w:highlight w:val="yellow"/>
                <w:lang w:val="en-US" w:eastAsia="zh-CN"/>
              </w:rPr>
              <w:t>Low</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cs="Arial"/>
                <w:kern w:val="0"/>
                <w:sz w:val="18"/>
                <w:szCs w:val="18"/>
                <w:highlight w:val="yellow"/>
                <w:lang w:val="en-US" w:eastAsia="zh-CN"/>
              </w:rPr>
              <w:t>Depends on whether training dataset can be defined in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Friendly to STOA (state of the art) model test / Forward compatibility when new AI models are invented</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cs="Arial"/>
                <w:kern w:val="0"/>
                <w:sz w:val="18"/>
                <w:szCs w:val="18"/>
                <w:highlight w:val="yellow"/>
                <w:lang w:val="en-US" w:eastAsia="zh-CN"/>
              </w:rPr>
              <w:t xml:space="preserve">Yes, Depends on new AI model can be tested with specification </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eastAsia" w:ascii="Arial" w:hAnsi="Arial" w:cs="Arial"/>
                <w:kern w:val="0"/>
                <w:sz w:val="18"/>
                <w:szCs w:val="18"/>
                <w:highlight w:val="yellow"/>
                <w:lang w:val="en-US" w:eastAsia="zh-CN"/>
              </w:rPr>
              <w:t xml:space="preserve">Yes, Depends on new AI model can be tested with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Relationship with reference decoder/encoder (used by RAN4 to define the performance requirements) for defining the requirement</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kern w:val="0"/>
                <w:sz w:val="18"/>
                <w:szCs w:val="18"/>
                <w:highlight w:val="yellow"/>
                <w:lang w:val="en-US" w:eastAsia="zh-CN"/>
              </w:rPr>
              <w:t>Re</w:t>
            </w:r>
            <w:r>
              <w:rPr>
                <w:rFonts w:hint="eastAsia" w:ascii="Arial" w:hAnsi="Arial" w:cs="Arial"/>
                <w:kern w:val="0"/>
                <w:sz w:val="18"/>
                <w:szCs w:val="18"/>
                <w:highlight w:val="yellow"/>
                <w:lang w:val="en-US" w:eastAsia="zh-CN"/>
              </w:rPr>
              <w:t xml:space="preserve">ference decoder/ encoder can be same with test decoder/encoder </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kern w:val="0"/>
                <w:sz w:val="18"/>
                <w:szCs w:val="18"/>
                <w:highlight w:val="yellow"/>
                <w:lang w:val="en-US" w:eastAsia="zh-CN"/>
              </w:rPr>
              <w:t>May or not. Test decoder can further evolve based on reference decoder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bCs/>
                <w:kern w:val="0"/>
                <w:sz w:val="18"/>
                <w:szCs w:val="18"/>
                <w:lang w:val="en-GB" w:eastAsia="en-US"/>
              </w:rPr>
            </w:pPr>
            <w:r>
              <w:rPr>
                <w:rFonts w:hint="default" w:ascii="Arial" w:hAnsi="Arial" w:eastAsia="MS Mincho" w:cs="Arial"/>
                <w:bCs/>
                <w:kern w:val="0"/>
                <w:sz w:val="18"/>
                <w:szCs w:val="18"/>
                <w:lang w:val="en-GB" w:eastAsia="en-US"/>
              </w:rPr>
              <w:t>Whether model transfer/delivery is needed during the test procedure</w:t>
            </w: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p>
        </w:tc>
        <w:tc>
          <w:tcPr>
            <w:tcW w:w="0" w:type="auto"/>
            <w:shd w:val="clear" w:color="auto" w:fill="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宋体" w:cs="Arial"/>
                <w:kern w:val="0"/>
                <w:sz w:val="18"/>
                <w:szCs w:val="18"/>
                <w:lang w:val="en-US" w:eastAsia="zh-CN"/>
              </w:rPr>
            </w:pPr>
            <w:r>
              <w:rPr>
                <w:rFonts w:hint="eastAsia" w:ascii="Arial" w:hAnsi="Arial" w:eastAsia="宋体" w:cs="Arial"/>
                <w:kern w:val="0"/>
                <w:sz w:val="18"/>
                <w:szCs w:val="18"/>
                <w:highlight w:val="yellow"/>
                <w:lang w:val="en-US" w:eastAsia="zh-CN"/>
              </w:rPr>
              <w:t>No</w:t>
            </w:r>
          </w:p>
        </w:tc>
        <w:tc>
          <w:tcPr>
            <w:tcW w:w="0" w:type="auto"/>
          </w:tcPr>
          <w:p>
            <w:pPr>
              <w:keepNext w:val="0"/>
              <w:keepLines w:val="0"/>
              <w:widowControl/>
              <w:suppressLineNumbers w:val="0"/>
              <w:spacing w:before="0" w:beforeLines="-2147483648" w:beforeAutospacing="0" w:after="0" w:afterLines="-2147483648" w:afterAutospacing="0" w:line="240" w:lineRule="auto"/>
              <w:ind w:left="0" w:right="0"/>
              <w:jc w:val="left"/>
              <w:rPr>
                <w:rFonts w:hint="default" w:ascii="Arial" w:hAnsi="Arial" w:eastAsia="MS Mincho" w:cs="Arial"/>
                <w:kern w:val="0"/>
                <w:sz w:val="18"/>
                <w:szCs w:val="18"/>
                <w:lang w:val="en-GB" w:eastAsia="en-US"/>
              </w:rPr>
            </w:pPr>
            <w:r>
              <w:rPr>
                <w:rFonts w:hint="eastAsia" w:ascii="Arial" w:hAnsi="Arial" w:eastAsia="宋体" w:cs="Arial"/>
                <w:kern w:val="0"/>
                <w:sz w:val="18"/>
                <w:szCs w:val="18"/>
                <w:highlight w:val="yellow"/>
                <w:lang w:val="en-US" w:eastAsia="zh-CN"/>
              </w:rPr>
              <w:t>No</w:t>
            </w:r>
          </w:p>
        </w:tc>
      </w:tr>
    </w:tbl>
    <w:p>
      <w:pPr>
        <w:widowControl w:val="0"/>
        <w:spacing w:beforeLines="100" w:afterLines="0" w:line="240" w:lineRule="auto"/>
        <w:jc w:val="both"/>
        <w:rPr>
          <w:rFonts w:hint="eastAsia" w:cs="Times New Roman"/>
          <w:kern w:val="2"/>
          <w:sz w:val="21"/>
          <w:lang w:val="en-US" w:eastAsia="zh-CN" w:bidi="ar-SA"/>
        </w:rPr>
      </w:pPr>
    </w:p>
    <w:p>
      <w:pPr>
        <w:widowControl w:val="0"/>
        <w:spacing w:beforeLines="100" w:afterLines="0" w:line="240" w:lineRule="auto"/>
        <w:jc w:val="both"/>
        <w:rPr>
          <w:rFonts w:hint="eastAsia"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According to our analysis, we can observed that two different candidate options for channel matrix, which have different input formats to encoder.</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To reduce feedback, channel information could be sparse in some domains, which will lead different input formats to encoder.</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For test decoder, need more information about training dataset and model structure in compression.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For CSI prediction, it is proposed to use relative throughput as default metric.</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2. Format of input to encoder/output of decoder could be considered, which also including input dataset pre-processing.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Our views on two-sided testing options comparison are listed in the following table with additional notes.</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R4-2403712</w:t>
      </w:r>
      <w:r>
        <w:rPr>
          <w:rFonts w:hint="eastAsia" w:eastAsia="宋体" w:cstheme="minorBidi"/>
          <w:kern w:val="0"/>
          <w:sz w:val="21"/>
          <w:szCs w:val="21"/>
          <w:lang w:val="en-US" w:eastAsia="zh-CN"/>
        </w:rPr>
        <w:t>, WF on AI/ML. Qualcomm Incorporated.</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3"/>
  </w:num>
  <w:num w:numId="4">
    <w:abstractNumId w:val="4"/>
  </w:num>
  <w:num w:numId="5">
    <w:abstractNumId w:val="1"/>
  </w:num>
  <w:num w:numId="6">
    <w:abstractNumId w:val="0"/>
  </w:num>
  <w:num w:numId="7">
    <w:abstractNumId w:val="5"/>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009A5"/>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7B11F4"/>
    <w:rsid w:val="0B8406F4"/>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603012"/>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876361"/>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9F452A"/>
    <w:rsid w:val="25A95F3E"/>
    <w:rsid w:val="25BF6041"/>
    <w:rsid w:val="25C35718"/>
    <w:rsid w:val="25CF0252"/>
    <w:rsid w:val="25D0248E"/>
    <w:rsid w:val="25F81D70"/>
    <w:rsid w:val="25FB5636"/>
    <w:rsid w:val="25FE58A9"/>
    <w:rsid w:val="26070462"/>
    <w:rsid w:val="260D2C45"/>
    <w:rsid w:val="26395C92"/>
    <w:rsid w:val="263E694A"/>
    <w:rsid w:val="26484954"/>
    <w:rsid w:val="266237C3"/>
    <w:rsid w:val="266E1273"/>
    <w:rsid w:val="267550B9"/>
    <w:rsid w:val="26A30ADD"/>
    <w:rsid w:val="26C472EC"/>
    <w:rsid w:val="26E66826"/>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7E4DE4"/>
    <w:rsid w:val="288A05DD"/>
    <w:rsid w:val="28937D89"/>
    <w:rsid w:val="28C96C14"/>
    <w:rsid w:val="28D53334"/>
    <w:rsid w:val="28E138E3"/>
    <w:rsid w:val="28E74216"/>
    <w:rsid w:val="28E87EE4"/>
    <w:rsid w:val="2903396A"/>
    <w:rsid w:val="29207566"/>
    <w:rsid w:val="29235EFC"/>
    <w:rsid w:val="292918ED"/>
    <w:rsid w:val="292B6BBE"/>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03BA1"/>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3C313D"/>
    <w:rsid w:val="314E236F"/>
    <w:rsid w:val="315E0B07"/>
    <w:rsid w:val="31621F46"/>
    <w:rsid w:val="316E7AA7"/>
    <w:rsid w:val="316E7CA0"/>
    <w:rsid w:val="317206BF"/>
    <w:rsid w:val="317932EA"/>
    <w:rsid w:val="317E5000"/>
    <w:rsid w:val="31A723A1"/>
    <w:rsid w:val="31B718F2"/>
    <w:rsid w:val="31B912B2"/>
    <w:rsid w:val="31D20051"/>
    <w:rsid w:val="31E11582"/>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C12873"/>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4746D"/>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61E50"/>
    <w:rsid w:val="48CB2583"/>
    <w:rsid w:val="48D429DD"/>
    <w:rsid w:val="48E01C77"/>
    <w:rsid w:val="48E22285"/>
    <w:rsid w:val="48E50D90"/>
    <w:rsid w:val="48FA15CC"/>
    <w:rsid w:val="49002A7B"/>
    <w:rsid w:val="491B63DF"/>
    <w:rsid w:val="491D63E9"/>
    <w:rsid w:val="49285E6A"/>
    <w:rsid w:val="492A068A"/>
    <w:rsid w:val="4932285C"/>
    <w:rsid w:val="493E2F78"/>
    <w:rsid w:val="4948613B"/>
    <w:rsid w:val="495217DF"/>
    <w:rsid w:val="4958367A"/>
    <w:rsid w:val="496E52F3"/>
    <w:rsid w:val="49814AF9"/>
    <w:rsid w:val="498A16CD"/>
    <w:rsid w:val="49A13EF6"/>
    <w:rsid w:val="49A33C27"/>
    <w:rsid w:val="49A750B5"/>
    <w:rsid w:val="49BE07DA"/>
    <w:rsid w:val="49C84AA0"/>
    <w:rsid w:val="49D7694D"/>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F2E43"/>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1D3051"/>
    <w:rsid w:val="4D277AC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B62B4"/>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05559"/>
    <w:rsid w:val="52272B85"/>
    <w:rsid w:val="523E09B5"/>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E9525B"/>
    <w:rsid w:val="59FE5B32"/>
    <w:rsid w:val="5A0F7992"/>
    <w:rsid w:val="5A2E75CA"/>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0E53"/>
    <w:rsid w:val="5CD8648B"/>
    <w:rsid w:val="5CDB2E8C"/>
    <w:rsid w:val="5CDB3358"/>
    <w:rsid w:val="5CED4E0C"/>
    <w:rsid w:val="5CEF1DC1"/>
    <w:rsid w:val="5CF94FAE"/>
    <w:rsid w:val="5D034EE9"/>
    <w:rsid w:val="5D0366E8"/>
    <w:rsid w:val="5D044FED"/>
    <w:rsid w:val="5D0A06B6"/>
    <w:rsid w:val="5D1307E8"/>
    <w:rsid w:val="5D1C3851"/>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E61E6"/>
    <w:rsid w:val="5EB51FDE"/>
    <w:rsid w:val="5EBA4472"/>
    <w:rsid w:val="5ECA3D37"/>
    <w:rsid w:val="5EE153F8"/>
    <w:rsid w:val="5EED7893"/>
    <w:rsid w:val="5F0A3A61"/>
    <w:rsid w:val="5F4F1B95"/>
    <w:rsid w:val="5F683B6E"/>
    <w:rsid w:val="5F734541"/>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8D03FC"/>
    <w:rsid w:val="6A973A89"/>
    <w:rsid w:val="6AA516B2"/>
    <w:rsid w:val="6AAF014C"/>
    <w:rsid w:val="6ACA169B"/>
    <w:rsid w:val="6ACB082B"/>
    <w:rsid w:val="6AD3247E"/>
    <w:rsid w:val="6AF4047B"/>
    <w:rsid w:val="6AF805EA"/>
    <w:rsid w:val="6B1D68BE"/>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8C55BB"/>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223933"/>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9E19CA"/>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038D"/>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18</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2024-04-08T11:55:11Z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